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36" w:rsidRPr="000851DB" w:rsidRDefault="007E5236" w:rsidP="007E5236">
      <w:pPr>
        <w:jc w:val="center"/>
        <w:rPr>
          <w:b/>
          <w:sz w:val="36"/>
          <w:szCs w:val="36"/>
        </w:rPr>
      </w:pPr>
      <w:r w:rsidRPr="000851DB">
        <w:rPr>
          <w:b/>
          <w:sz w:val="36"/>
          <w:szCs w:val="36"/>
        </w:rPr>
        <w:t xml:space="preserve">Grades 6-12 ELA Lesson Plan </w:t>
      </w:r>
    </w:p>
    <w:p w:rsidR="007E5236" w:rsidRPr="000851DB" w:rsidRDefault="007E5236" w:rsidP="007E5236">
      <w:pPr>
        <w:pStyle w:val="Default"/>
        <w:rPr>
          <w:rFonts w:ascii="Times New Roman" w:hAnsi="Times New Roman" w:cs="Times New Roman"/>
          <w:b/>
        </w:rPr>
      </w:pPr>
    </w:p>
    <w:p w:rsidR="007E5236" w:rsidRPr="000851DB" w:rsidRDefault="007E5236" w:rsidP="007E5236">
      <w:pPr>
        <w:pStyle w:val="Default"/>
        <w:rPr>
          <w:rFonts w:ascii="Times New Roman" w:hAnsi="Times New Roman" w:cs="Times New Roman"/>
          <w:b/>
        </w:rPr>
      </w:pPr>
    </w:p>
    <w:p w:rsidR="007E5236" w:rsidRPr="000851DB" w:rsidRDefault="007E5236" w:rsidP="007E5236">
      <w:pPr>
        <w:pStyle w:val="Default"/>
        <w:rPr>
          <w:rFonts w:ascii="Times New Roman" w:hAnsi="Times New Roman" w:cs="Times New Roman"/>
        </w:rPr>
      </w:pPr>
      <w:r w:rsidRPr="000851DB">
        <w:rPr>
          <w:rFonts w:ascii="Times New Roman" w:hAnsi="Times New Roman" w:cs="Times New Roman"/>
          <w:b/>
        </w:rPr>
        <w:t>Teacher:</w:t>
      </w:r>
      <w:r w:rsidRPr="000851DB">
        <w:rPr>
          <w:rFonts w:ascii="Times New Roman" w:hAnsi="Times New Roman" w:cs="Times New Roman"/>
        </w:rPr>
        <w:t xml:space="preserve">  Wright   </w:t>
      </w:r>
      <w:r w:rsidRPr="000851DB">
        <w:rPr>
          <w:rFonts w:ascii="Times New Roman" w:hAnsi="Times New Roman" w:cs="Times New Roman"/>
          <w:b/>
        </w:rPr>
        <w:t>Grade/Course:</w:t>
      </w:r>
      <w:r w:rsidRPr="000851DB">
        <w:rPr>
          <w:rFonts w:ascii="Times New Roman" w:hAnsi="Times New Roman" w:cs="Times New Roman"/>
        </w:rPr>
        <w:t xml:space="preserve"> 8</w:t>
      </w:r>
      <w:r w:rsidRPr="000851DB">
        <w:rPr>
          <w:rFonts w:ascii="Times New Roman" w:hAnsi="Times New Roman" w:cs="Times New Roman"/>
          <w:vertAlign w:val="superscript"/>
        </w:rPr>
        <w:t>th</w:t>
      </w:r>
      <w:r w:rsidRPr="000851DB">
        <w:rPr>
          <w:rFonts w:ascii="Times New Roman" w:hAnsi="Times New Roman" w:cs="Times New Roman"/>
        </w:rPr>
        <w:t xml:space="preserve"> grade Language Arts    </w:t>
      </w:r>
      <w:r w:rsidRPr="000851DB">
        <w:rPr>
          <w:rFonts w:ascii="Times New Roman" w:hAnsi="Times New Roman" w:cs="Times New Roman"/>
          <w:b/>
        </w:rPr>
        <w:t>Date:</w:t>
      </w:r>
      <w:r w:rsidRPr="000851DB">
        <w:rPr>
          <w:rFonts w:ascii="Times New Roman" w:hAnsi="Times New Roman" w:cs="Times New Roman"/>
        </w:rPr>
        <w:t xml:space="preserve"> Day 1</w:t>
      </w:r>
      <w:r w:rsidR="00D655EA" w:rsidRPr="000851DB">
        <w:rPr>
          <w:rFonts w:ascii="Times New Roman" w:hAnsi="Times New Roman" w:cs="Times New Roman"/>
        </w:rPr>
        <w:t>, 2</w:t>
      </w:r>
      <w:r w:rsidRPr="000851DB">
        <w:rPr>
          <w:rFonts w:ascii="Times New Roman" w:hAnsi="Times New Roman" w:cs="Times New Roman"/>
        </w:rPr>
        <w:t>/30</w:t>
      </w:r>
    </w:p>
    <w:p w:rsidR="007E5236" w:rsidRPr="000851DB" w:rsidRDefault="007E5236" w:rsidP="007E5236">
      <w:pPr>
        <w:pStyle w:val="Defaul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7E5236" w:rsidRPr="000851DB" w:rsidTr="005D359D">
        <w:tc>
          <w:tcPr>
            <w:tcW w:w="5499" w:type="dxa"/>
            <w:gridSpan w:val="2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Unit Title: Unit 1 Heroes and Villains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  <w:b/>
              </w:rPr>
              <w:t>(Introducing a Hero)</w:t>
            </w:r>
          </w:p>
        </w:tc>
        <w:tc>
          <w:tcPr>
            <w:tcW w:w="5499" w:type="dxa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03575A">
              <w:rPr>
                <w:rFonts w:ascii="Times New Roman" w:hAnsi="Times New Roman" w:cs="Times New Roman"/>
                <w:b/>
              </w:rPr>
              <w:t>two</w:t>
            </w:r>
            <w:bookmarkStart w:id="0" w:name="_GoBack"/>
            <w:bookmarkEnd w:id="0"/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7E5236" w:rsidRPr="000851DB" w:rsidTr="005D359D">
        <w:tc>
          <w:tcPr>
            <w:tcW w:w="2483" w:type="dxa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Unit EQ(s):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7E5236" w:rsidRPr="000851DB" w:rsidRDefault="003E4B0E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eastAsia="Times New Roman" w:hAnsi="Times New Roman" w:cs="Times New Roman"/>
              </w:rPr>
              <w:t>Why do authors use different media formats and text structures to present different information?</w:t>
            </w:r>
          </w:p>
        </w:tc>
      </w:tr>
      <w:tr w:rsidR="007E5236" w:rsidRPr="000851DB" w:rsidTr="005D359D">
        <w:tc>
          <w:tcPr>
            <w:tcW w:w="2483" w:type="dxa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7E5236" w:rsidRPr="000851DB" w:rsidRDefault="008C0B05" w:rsidP="005D359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906D6" w:rsidRPr="000851DB">
              <w:rPr>
                <w:rFonts w:ascii="Times New Roman" w:hAnsi="Times New Roman" w:cs="Times New Roman"/>
              </w:rPr>
              <w:t xml:space="preserve">rchetype, </w:t>
            </w:r>
            <w:r>
              <w:rPr>
                <w:rFonts w:ascii="Times New Roman" w:hAnsi="Times New Roman" w:cs="Times New Roman"/>
              </w:rPr>
              <w:t>t</w:t>
            </w:r>
            <w:r w:rsidR="007E5236" w:rsidRPr="000851DB">
              <w:rPr>
                <w:rFonts w:ascii="Times New Roman" w:hAnsi="Times New Roman" w:cs="Times New Roman"/>
              </w:rPr>
              <w:t>heme</w:t>
            </w:r>
            <w:r>
              <w:rPr>
                <w:rFonts w:ascii="Times New Roman" w:hAnsi="Times New Roman" w:cs="Times New Roman"/>
              </w:rPr>
              <w:t>, internal/external conflicts, h</w:t>
            </w:r>
            <w:r w:rsidR="007E5236" w:rsidRPr="000851DB">
              <w:rPr>
                <w:rFonts w:ascii="Times New Roman" w:hAnsi="Times New Roman" w:cs="Times New Roman"/>
              </w:rPr>
              <w:t>ero</w:t>
            </w:r>
          </w:p>
        </w:tc>
      </w:tr>
      <w:tr w:rsidR="007E5236" w:rsidRPr="000851DB" w:rsidTr="005D359D">
        <w:tc>
          <w:tcPr>
            <w:tcW w:w="2483" w:type="dxa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7E5236" w:rsidRPr="000851DB" w:rsidRDefault="008C0B05" w:rsidP="005D359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Song l</w:t>
            </w:r>
            <w:r w:rsidR="007E5236" w:rsidRPr="000851DB">
              <w:rPr>
                <w:rFonts w:ascii="Times New Roman" w:hAnsi="Times New Roman" w:cs="Times New Roman"/>
              </w:rPr>
              <w:t>yrics</w:t>
            </w:r>
            <w:r>
              <w:rPr>
                <w:rFonts w:ascii="Times New Roman" w:hAnsi="Times New Roman" w:cs="Times New Roman"/>
              </w:rPr>
              <w:t xml:space="preserve"> to Mariah Carey’s “Hero”, Spring Board text</w:t>
            </w:r>
            <w:r w:rsidR="00A35489">
              <w:rPr>
                <w:rFonts w:ascii="Times New Roman" w:hAnsi="Times New Roman" w:cs="Times New Roman"/>
              </w:rPr>
              <w:t>, sticky notes</w:t>
            </w:r>
          </w:p>
        </w:tc>
      </w:tr>
      <w:tr w:rsidR="007E5236" w:rsidRPr="000851DB" w:rsidTr="005D359D">
        <w:tc>
          <w:tcPr>
            <w:tcW w:w="2483" w:type="dxa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  <w:b/>
              </w:rPr>
              <w:t>Spring Board Activity</w:t>
            </w:r>
            <w:r w:rsidR="008C0B05">
              <w:rPr>
                <w:rFonts w:ascii="Times New Roman" w:hAnsi="Times New Roman" w:cs="Times New Roman"/>
              </w:rPr>
              <w:t xml:space="preserve">: Previewing the Unit Activity 1.1 (pg. 5).  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Option: Questions 1 &amp; 2 or all questions</w:t>
            </w:r>
            <w:r w:rsidR="00FE02E8" w:rsidRPr="000851DB">
              <w:rPr>
                <w:rFonts w:ascii="Times New Roman" w:hAnsi="Times New Roman" w:cs="Times New Roman"/>
              </w:rPr>
              <w:t xml:space="preserve">, can be discussed or </w:t>
            </w:r>
            <w:r w:rsidR="00B8634F">
              <w:rPr>
                <w:rFonts w:ascii="Times New Roman" w:hAnsi="Times New Roman" w:cs="Times New Roman"/>
              </w:rPr>
              <w:t xml:space="preserve"> completed individually </w:t>
            </w:r>
          </w:p>
        </w:tc>
      </w:tr>
      <w:tr w:rsidR="007E5236" w:rsidRPr="000851DB" w:rsidTr="005D359D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7E5236" w:rsidRPr="000851DB" w:rsidRDefault="007E5236" w:rsidP="005D359D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7E5236" w:rsidRPr="000851DB" w:rsidRDefault="007E5236" w:rsidP="005D359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851DB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E5236" w:rsidRPr="000851DB" w:rsidRDefault="001C4C9B" w:rsidP="001C4C9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0851DB">
              <w:rPr>
                <w:rFonts w:ascii="Times New Roman" w:hAnsi="Times New Roman" w:cs="Times New Roman"/>
              </w:rPr>
              <w:t>x</w:t>
            </w:r>
            <w:r w:rsidR="007E5236" w:rsidRPr="000851DB">
              <w:rPr>
                <w:rFonts w:ascii="Times New Roman" w:hAnsi="Times New Roman" w:cs="Times New Roman"/>
              </w:rPr>
              <w:t>Reading</w:t>
            </w:r>
            <w:proofErr w:type="spellEnd"/>
          </w:p>
          <w:p w:rsidR="007E5236" w:rsidRPr="000851DB" w:rsidRDefault="001C4C9B" w:rsidP="001C4C9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0851DB">
              <w:rPr>
                <w:rFonts w:ascii="Times New Roman" w:hAnsi="Times New Roman" w:cs="Times New Roman"/>
              </w:rPr>
              <w:t>x</w:t>
            </w:r>
            <w:r w:rsidR="007E5236" w:rsidRPr="000851DB">
              <w:rPr>
                <w:rFonts w:ascii="Times New Roman" w:hAnsi="Times New Roman" w:cs="Times New Roman"/>
              </w:rPr>
              <w:t>Writing</w:t>
            </w:r>
            <w:proofErr w:type="spellEnd"/>
          </w:p>
          <w:p w:rsidR="007E5236" w:rsidRPr="000851DB" w:rsidRDefault="001C4C9B" w:rsidP="001C4C9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0851DB">
              <w:rPr>
                <w:rFonts w:ascii="Times New Roman" w:hAnsi="Times New Roman" w:cs="Times New Roman"/>
              </w:rPr>
              <w:t>x</w:t>
            </w:r>
            <w:r w:rsidR="007E5236" w:rsidRPr="000851DB">
              <w:rPr>
                <w:rFonts w:ascii="Times New Roman" w:hAnsi="Times New Roman" w:cs="Times New Roman"/>
              </w:rPr>
              <w:t>Word</w:t>
            </w:r>
            <w:proofErr w:type="spellEnd"/>
            <w:r w:rsidR="007E5236" w:rsidRPr="000851DB">
              <w:rPr>
                <w:rFonts w:ascii="Times New Roman" w:hAnsi="Times New Roman" w:cs="Times New Roman"/>
              </w:rPr>
              <w:t xml:space="preserve"> Study</w:t>
            </w:r>
          </w:p>
          <w:p w:rsidR="007E5236" w:rsidRPr="000851DB" w:rsidRDefault="001C4C9B" w:rsidP="001C4C9B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0851DB">
              <w:rPr>
                <w:rFonts w:ascii="Times New Roman" w:hAnsi="Times New Roman" w:cs="Times New Roman"/>
              </w:rPr>
              <w:t>x</w:t>
            </w:r>
            <w:r w:rsidR="007E5236" w:rsidRPr="000851DB">
              <w:rPr>
                <w:rFonts w:ascii="Times New Roman" w:hAnsi="Times New Roman" w:cs="Times New Roman"/>
              </w:rPr>
              <w:t>Speaking</w:t>
            </w:r>
            <w:proofErr w:type="spellEnd"/>
            <w:r w:rsidR="007E5236" w:rsidRPr="000851DB">
              <w:rPr>
                <w:rFonts w:ascii="Times New Roman" w:hAnsi="Times New Roman" w:cs="Times New Roman"/>
              </w:rPr>
              <w:t xml:space="preserve"> &amp; Listening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7E5236" w:rsidRPr="000851DB" w:rsidRDefault="007E5236" w:rsidP="005D359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0851DB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7E5236" w:rsidRPr="000851DB" w:rsidRDefault="007E5236" w:rsidP="005D359D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E5236" w:rsidRPr="000851DB" w:rsidRDefault="007E5236" w:rsidP="007E523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Modeled</w:t>
            </w:r>
          </w:p>
          <w:p w:rsidR="007E5236" w:rsidRPr="000851DB" w:rsidRDefault="007E5236" w:rsidP="007E523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Shared</w:t>
            </w:r>
          </w:p>
          <w:p w:rsidR="007E5236" w:rsidRPr="000851DB" w:rsidRDefault="007E5236" w:rsidP="007E523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Guided Practice</w:t>
            </w:r>
          </w:p>
          <w:p w:rsidR="007E5236" w:rsidRPr="000851DB" w:rsidRDefault="007E5236" w:rsidP="007E5236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Independent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</w:p>
          <w:p w:rsidR="007E5236" w:rsidRPr="000851DB" w:rsidRDefault="007E5236" w:rsidP="005D359D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Common Core State Standards:</w:t>
            </w:r>
            <w:r w:rsidR="00FE02E8" w:rsidRPr="000851DB">
              <w:rPr>
                <w:rFonts w:ascii="Times New Roman" w:hAnsi="Times New Roman" w:cs="Times New Roman"/>
                <w:b/>
              </w:rPr>
              <w:t xml:space="preserve"> RL 8.9, SL 8.2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  <w:b/>
              </w:rPr>
              <w:t>I Can Statements</w:t>
            </w:r>
            <w:r w:rsidRPr="000851DB">
              <w:rPr>
                <w:rFonts w:ascii="Times New Roman" w:hAnsi="Times New Roman" w:cs="Times New Roman"/>
              </w:rPr>
              <w:t>:</w:t>
            </w:r>
            <w:r w:rsidR="00FE02E8" w:rsidRPr="000851DB">
              <w:rPr>
                <w:rFonts w:ascii="Times New Roman" w:hAnsi="Times New Roman" w:cs="Times New Roman"/>
              </w:rPr>
              <w:t xml:space="preserve"> </w:t>
            </w:r>
            <w:r w:rsidR="008C0B05">
              <w:rPr>
                <w:rFonts w:ascii="Times New Roman" w:hAnsi="Times New Roman" w:cs="Times New Roman"/>
              </w:rPr>
              <w:t>I can identify the hero and his/her traits in a myth.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Instructional Plan:</w:t>
            </w:r>
            <w:r w:rsidR="00B52308" w:rsidRPr="000851DB">
              <w:rPr>
                <w:rFonts w:ascii="Times New Roman" w:hAnsi="Times New Roman" w:cs="Times New Roman"/>
                <w:b/>
              </w:rPr>
              <w:t xml:space="preserve"> (view differentiation for modifications)</w:t>
            </w:r>
          </w:p>
          <w:p w:rsidR="00FE02E8" w:rsidRPr="000851DB" w:rsidRDefault="00FE02E8" w:rsidP="00FE02E8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Students will complete the activity on Page 5 in Sp</w:t>
            </w:r>
            <w:r w:rsidR="008C0B05">
              <w:rPr>
                <w:rFonts w:ascii="Times New Roman" w:hAnsi="Times New Roman" w:cs="Times New Roman"/>
              </w:rPr>
              <w:t>ring Board</w:t>
            </w:r>
            <w:r w:rsidR="00A35489">
              <w:rPr>
                <w:rFonts w:ascii="Times New Roman" w:hAnsi="Times New Roman" w:cs="Times New Roman"/>
              </w:rPr>
              <w:t xml:space="preserve"> on notebook paper</w:t>
            </w:r>
            <w:r w:rsidR="008C0B05">
              <w:rPr>
                <w:rFonts w:ascii="Times New Roman" w:hAnsi="Times New Roman" w:cs="Times New Roman"/>
              </w:rPr>
              <w:t xml:space="preserve"> (Previewing the Unit).</w:t>
            </w:r>
          </w:p>
          <w:p w:rsidR="00FE02E8" w:rsidRPr="000851DB" w:rsidRDefault="00FE02E8" w:rsidP="00FE02E8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Once the first activity is completed, the teacher will lead a discussion a</w:t>
            </w:r>
            <w:r w:rsidR="008C0B05">
              <w:rPr>
                <w:rFonts w:ascii="Times New Roman" w:hAnsi="Times New Roman" w:cs="Times New Roman"/>
              </w:rPr>
              <w:t>bout the questions from activity 1.1, previewing the unit.   S</w:t>
            </w:r>
            <w:r w:rsidRPr="000851DB">
              <w:rPr>
                <w:rFonts w:ascii="Times New Roman" w:hAnsi="Times New Roman" w:cs="Times New Roman"/>
              </w:rPr>
              <w:t>tudents will share synonyms for the wo</w:t>
            </w:r>
            <w:r w:rsidR="00A35489">
              <w:rPr>
                <w:rFonts w:ascii="Times New Roman" w:hAnsi="Times New Roman" w:cs="Times New Roman"/>
              </w:rPr>
              <w:t>rd “hero” during the discussion teacher will create a word splash/list on the board.</w:t>
            </w:r>
          </w:p>
          <w:p w:rsidR="00FE02E8" w:rsidRPr="000851DB" w:rsidRDefault="00FE02E8" w:rsidP="00FE02E8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Students will receive the lyrics to “Mariah Carey’s song, “Hero” and will be told to read the lyrics prior to hearing the song.</w:t>
            </w:r>
          </w:p>
          <w:p w:rsidR="00FE02E8" w:rsidRPr="000851DB" w:rsidRDefault="00FE02E8" w:rsidP="00FE02E8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The teac</w:t>
            </w:r>
            <w:r w:rsidR="00A35489">
              <w:rPr>
                <w:rFonts w:ascii="Times New Roman" w:hAnsi="Times New Roman" w:cs="Times New Roman"/>
              </w:rPr>
              <w:t>her will play the song.  Independently, students will be responsible for discovering a theme represented in the song.</w:t>
            </w:r>
          </w:p>
          <w:p w:rsidR="00FE02E8" w:rsidRPr="000851DB" w:rsidRDefault="00FE02E8" w:rsidP="00FE02E8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Once the song is finished, students will record heroic characteristics that they can identify within themselves</w:t>
            </w:r>
            <w:r w:rsidR="00A35489">
              <w:rPr>
                <w:rFonts w:ascii="Times New Roman" w:hAnsi="Times New Roman" w:cs="Times New Roman"/>
              </w:rPr>
              <w:t xml:space="preserve"> and then</w:t>
            </w:r>
            <w:r w:rsidR="00DF5F33" w:rsidRPr="000851DB">
              <w:rPr>
                <w:rFonts w:ascii="Times New Roman" w:hAnsi="Times New Roman" w:cs="Times New Roman"/>
              </w:rPr>
              <w:t xml:space="preserve"> compare their heroic characteristics to one of their favorite fictional heroes (Superman, Batman, Storm etc.)</w:t>
            </w:r>
            <w:r w:rsidR="00A35489">
              <w:rPr>
                <w:rFonts w:ascii="Times New Roman" w:hAnsi="Times New Roman" w:cs="Times New Roman"/>
              </w:rPr>
              <w:t>.</w:t>
            </w:r>
          </w:p>
          <w:p w:rsidR="00DF5F33" w:rsidRPr="000851DB" w:rsidRDefault="00DF5F33" w:rsidP="00DF5F33">
            <w:pPr>
              <w:pStyle w:val="Defaul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851DB">
              <w:rPr>
                <w:rFonts w:ascii="Times New Roman" w:hAnsi="Times New Roman" w:cs="Times New Roman"/>
                <w:sz w:val="20"/>
                <w:szCs w:val="20"/>
              </w:rPr>
              <w:t>Note: This exercise is a motivational piece and it helps students to make connections between the heroic characters that will be introduced throughout the lesson.</w:t>
            </w:r>
          </w:p>
          <w:p w:rsidR="00DF5F33" w:rsidRPr="000851DB" w:rsidRDefault="00A35489" w:rsidP="00FE02E8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After the discussion about h</w:t>
            </w:r>
            <w:r w:rsidR="00DF5F33" w:rsidRPr="000851DB">
              <w:rPr>
                <w:rFonts w:ascii="Times New Roman" w:hAnsi="Times New Roman" w:cs="Times New Roman"/>
              </w:rPr>
              <w:t>eroes,</w:t>
            </w:r>
            <w:r w:rsidR="001C4C9B" w:rsidRPr="000851DB">
              <w:rPr>
                <w:rFonts w:ascii="Times New Roman" w:hAnsi="Times New Roman" w:cs="Times New Roman"/>
              </w:rPr>
              <w:t xml:space="preserve"> the teacher will model </w:t>
            </w:r>
            <w:r w:rsidR="002155CE" w:rsidRPr="000851DB">
              <w:rPr>
                <w:rFonts w:ascii="Times New Roman" w:hAnsi="Times New Roman" w:cs="Times New Roman"/>
              </w:rPr>
              <w:t>annotating skills with Book IX: 152-192 and then</w:t>
            </w:r>
            <w:r w:rsidR="00DF5F33" w:rsidRPr="000851DB">
              <w:rPr>
                <w:rFonts w:ascii="Times New Roman" w:hAnsi="Times New Roman" w:cs="Times New Roman"/>
              </w:rPr>
              <w:t xml:space="preserve"> students will read</w:t>
            </w:r>
            <w:r w:rsidR="00F6108F" w:rsidRPr="000851DB">
              <w:rPr>
                <w:rFonts w:ascii="Times New Roman" w:hAnsi="Times New Roman" w:cs="Times New Roman"/>
              </w:rPr>
              <w:t xml:space="preserve"> </w:t>
            </w:r>
            <w:r w:rsidR="001C4C9B" w:rsidRPr="000851DB">
              <w:rPr>
                <w:rFonts w:ascii="Times New Roman" w:hAnsi="Times New Roman" w:cs="Times New Roman"/>
              </w:rPr>
              <w:t>and annotate</w:t>
            </w:r>
            <w:r w:rsidR="00F6108F" w:rsidRPr="000851DB">
              <w:rPr>
                <w:rFonts w:ascii="Times New Roman" w:hAnsi="Times New Roman" w:cs="Times New Roman"/>
              </w:rPr>
              <w:t xml:space="preserve"> Book IX 152-479 from </w:t>
            </w:r>
            <w:r w:rsidR="00F6108F" w:rsidRPr="000851DB">
              <w:rPr>
                <w:rFonts w:ascii="Times New Roman" w:hAnsi="Times New Roman" w:cs="Times New Roman"/>
                <w:u w:val="single"/>
              </w:rPr>
              <w:t>The Odyssey</w:t>
            </w:r>
            <w:r w:rsidR="00F6108F" w:rsidRPr="000851DB">
              <w:rPr>
                <w:rFonts w:ascii="Times New Roman" w:hAnsi="Times New Roman" w:cs="Times New Roman"/>
              </w:rPr>
              <w:t xml:space="preserve"> </w:t>
            </w:r>
            <w:r w:rsidR="003E4B0E" w:rsidRPr="000851DB">
              <w:rPr>
                <w:rFonts w:ascii="Times New Roman" w:hAnsi="Times New Roman" w:cs="Times New Roman"/>
              </w:rPr>
              <w:t>independently</w:t>
            </w:r>
            <w:r>
              <w:rPr>
                <w:rFonts w:ascii="Times New Roman" w:hAnsi="Times New Roman" w:cs="Times New Roman"/>
              </w:rPr>
              <w:t>.  Students will use sticky notes for this process.</w:t>
            </w:r>
          </w:p>
          <w:p w:rsidR="001C4C9B" w:rsidRPr="000851DB" w:rsidRDefault="002155CE" w:rsidP="00FE02E8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After completion, w</w:t>
            </w:r>
            <w:r w:rsidR="001C4C9B" w:rsidRPr="000851DB">
              <w:rPr>
                <w:rFonts w:ascii="Times New Roman" w:hAnsi="Times New Roman" w:cs="Times New Roman"/>
              </w:rPr>
              <w:t xml:space="preserve">e will review notes from </w:t>
            </w:r>
            <w:r w:rsidR="001C4C9B" w:rsidRPr="000851DB">
              <w:rPr>
                <w:rFonts w:ascii="Times New Roman" w:hAnsi="Times New Roman" w:cs="Times New Roman"/>
                <w:u w:val="single"/>
              </w:rPr>
              <w:t>The Odyssey</w:t>
            </w:r>
            <w:r w:rsidR="00A3548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A35489">
              <w:rPr>
                <w:rFonts w:ascii="Times New Roman" w:hAnsi="Times New Roman" w:cs="Times New Roman"/>
              </w:rPr>
              <w:t>as a whole group.</w:t>
            </w:r>
          </w:p>
          <w:p w:rsidR="007E5236" w:rsidRPr="000851DB" w:rsidRDefault="001C4C9B" w:rsidP="001C4C9B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After</w:t>
            </w:r>
            <w:r w:rsidR="002155CE" w:rsidRPr="000851DB">
              <w:rPr>
                <w:rFonts w:ascii="Times New Roman" w:hAnsi="Times New Roman" w:cs="Times New Roman"/>
              </w:rPr>
              <w:t xml:space="preserve"> review</w:t>
            </w:r>
            <w:r w:rsidRPr="000851DB">
              <w:rPr>
                <w:rFonts w:ascii="Times New Roman" w:hAnsi="Times New Roman" w:cs="Times New Roman"/>
              </w:rPr>
              <w:t>, they will be required to use their notes to individually complete the activity on page 39.</w:t>
            </w:r>
          </w:p>
          <w:p w:rsidR="001C4C9B" w:rsidRPr="000851DB" w:rsidRDefault="001C4C9B" w:rsidP="001C4C9B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</w:p>
          <w:p w:rsidR="007E5236" w:rsidRPr="000851DB" w:rsidRDefault="007E5236" w:rsidP="00D655EA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E5236" w:rsidRPr="000851DB" w:rsidTr="005D359D">
        <w:tc>
          <w:tcPr>
            <w:tcW w:w="2483" w:type="dxa"/>
            <w:shd w:val="clear" w:color="auto" w:fill="auto"/>
          </w:tcPr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Closing/Summarizing Strategy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7E5236" w:rsidRPr="000851DB" w:rsidRDefault="004D303A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lastRenderedPageBreak/>
              <w:t xml:space="preserve">Volunteers or students chosen at random will be asked to share three things that they learned in reference to </w:t>
            </w:r>
            <w:r w:rsidR="00B52308" w:rsidRPr="000851DB">
              <w:rPr>
                <w:rFonts w:ascii="Times New Roman" w:hAnsi="Times New Roman" w:cs="Times New Roman"/>
              </w:rPr>
              <w:t>heroism</w:t>
            </w: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7E5236" w:rsidRPr="000851DB" w:rsidRDefault="007E5236" w:rsidP="007E5236">
      <w:pPr>
        <w:pStyle w:val="Defaul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7E5236" w:rsidRPr="000851DB" w:rsidTr="005D359D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7E5236" w:rsidRPr="000851DB" w:rsidRDefault="007E5236" w:rsidP="005D359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7E5236" w:rsidRPr="000851DB" w:rsidRDefault="007E5236" w:rsidP="005D359D">
            <w:pPr>
              <w:jc w:val="center"/>
              <w:rPr>
                <w:b/>
              </w:rPr>
            </w:pPr>
            <w:r w:rsidRPr="000851DB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7E5236" w:rsidRPr="000851DB" w:rsidRDefault="007E5236" w:rsidP="005D359D">
            <w:pPr>
              <w:jc w:val="center"/>
              <w:rPr>
                <w:b/>
              </w:rPr>
            </w:pPr>
            <w:r w:rsidRPr="000851DB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7E5236" w:rsidRPr="000851DB" w:rsidRDefault="007E5236" w:rsidP="005D359D">
            <w:pPr>
              <w:jc w:val="center"/>
              <w:rPr>
                <w:b/>
              </w:rPr>
            </w:pPr>
            <w:r w:rsidRPr="000851DB">
              <w:rPr>
                <w:b/>
              </w:rPr>
              <w:t>Language Development</w:t>
            </w:r>
          </w:p>
        </w:tc>
      </w:tr>
      <w:tr w:rsidR="007E5236" w:rsidRPr="000851DB" w:rsidTr="005D359D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7E5236" w:rsidRPr="000851DB" w:rsidRDefault="007E5236" w:rsidP="005D359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shd w:val="clear" w:color="auto" w:fill="auto"/>
          </w:tcPr>
          <w:p w:rsidR="00796C91" w:rsidRDefault="005335CA" w:rsidP="00796C9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-Students will have access to notes for writing assignments. </w:t>
            </w:r>
          </w:p>
          <w:p w:rsidR="007E5236" w:rsidRPr="000851DB" w:rsidRDefault="005335CA" w:rsidP="005D359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52308" w:rsidRPr="000851DB">
              <w:rPr>
                <w:rFonts w:ascii="Times New Roman" w:hAnsi="Times New Roman" w:cs="Times New Roman"/>
              </w:rPr>
              <w:t>Students will read and compare the story of “David and Goliath” to the text.</w:t>
            </w:r>
          </w:p>
          <w:p w:rsidR="00B52308" w:rsidRPr="000851DB" w:rsidRDefault="00BA70C9" w:rsidP="005D359D">
            <w:pPr>
              <w:pStyle w:val="Default"/>
              <w:rPr>
                <w:rFonts w:ascii="Times New Roman" w:hAnsi="Times New Roman" w:cs="Times New Roman"/>
              </w:rPr>
            </w:pPr>
            <w:hyperlink r:id="rId8" w:history="1">
              <w:r w:rsidR="00B52308" w:rsidRPr="000851DB">
                <w:rPr>
                  <w:rStyle w:val="Hyperlink"/>
                  <w:rFonts w:ascii="Times New Roman" w:hAnsi="Times New Roman" w:cs="Times New Roman"/>
                </w:rPr>
                <w:t>http://www.biblegateway.com</w:t>
              </w:r>
            </w:hyperlink>
          </w:p>
          <w:p w:rsidR="00B52308" w:rsidRPr="000851DB" w:rsidRDefault="00B52308" w:rsidP="005D359D">
            <w:pPr>
              <w:pStyle w:val="Default"/>
              <w:rPr>
                <w:rFonts w:ascii="Times New Roman" w:hAnsi="Times New Roman" w:cs="Times New Roman"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</w:p>
          <w:p w:rsidR="007E5236" w:rsidRPr="000851DB" w:rsidRDefault="007E5236" w:rsidP="005D35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auto"/>
          </w:tcPr>
          <w:p w:rsidR="005335CA" w:rsidRDefault="004D303A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-</w:t>
            </w:r>
            <w:r w:rsidR="005335CA">
              <w:rPr>
                <w:rFonts w:ascii="Times New Roman" w:hAnsi="Times New Roman" w:cs="Times New Roman"/>
              </w:rPr>
              <w:t>Students will have access to notes and the text for writing assignment.</w:t>
            </w:r>
          </w:p>
          <w:p w:rsidR="007E5236" w:rsidRPr="000851DB" w:rsidRDefault="005335CA" w:rsidP="005D359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D303A" w:rsidRPr="000851DB">
              <w:rPr>
                <w:rFonts w:ascii="Times New Roman" w:hAnsi="Times New Roman" w:cs="Times New Roman"/>
              </w:rPr>
              <w:t>Students can work in a small group with inclusion teacher</w:t>
            </w:r>
            <w:r w:rsidR="00B52308" w:rsidRPr="000851DB">
              <w:rPr>
                <w:rFonts w:ascii="Times New Roman" w:hAnsi="Times New Roman" w:cs="Times New Roman"/>
              </w:rPr>
              <w:t xml:space="preserve"> to read the text</w:t>
            </w:r>
          </w:p>
          <w:p w:rsidR="00B52308" w:rsidRPr="000851DB" w:rsidRDefault="00B52308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-Students will have additional assistance while annotating the text</w:t>
            </w:r>
          </w:p>
          <w:p w:rsidR="00B52308" w:rsidRPr="000851DB" w:rsidRDefault="00B52308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-Challenging vocabulary will be identified through the use of context clues</w:t>
            </w:r>
          </w:p>
        </w:tc>
        <w:tc>
          <w:tcPr>
            <w:tcW w:w="2700" w:type="dxa"/>
            <w:shd w:val="clear" w:color="auto" w:fill="auto"/>
          </w:tcPr>
          <w:p w:rsidR="007E5236" w:rsidRDefault="00B52308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-Challenging vocabulary will be identified through the use of context clues</w:t>
            </w:r>
          </w:p>
          <w:p w:rsidR="00C705BB" w:rsidRPr="00C705BB" w:rsidRDefault="00C705BB" w:rsidP="00C705BB">
            <w:pPr>
              <w:pStyle w:val="Default"/>
              <w:rPr>
                <w:rFonts w:ascii="Times New Roman" w:hAnsi="Times New Roman" w:cs="Times New Roman"/>
              </w:rPr>
            </w:pPr>
            <w:r w:rsidRPr="00C705BB">
              <w:rPr>
                <w:rFonts w:ascii="Times New Roman" w:hAnsi="Times New Roman" w:cs="Times New Roman"/>
              </w:rPr>
              <w:t>-Students can work in a small group with inclusion teacher to read the text</w:t>
            </w:r>
          </w:p>
          <w:p w:rsidR="00C705BB" w:rsidRPr="000851DB" w:rsidRDefault="00C705BB" w:rsidP="00C705BB">
            <w:pPr>
              <w:pStyle w:val="Default"/>
              <w:rPr>
                <w:rFonts w:ascii="Times New Roman" w:hAnsi="Times New Roman" w:cs="Times New Roman"/>
              </w:rPr>
            </w:pPr>
            <w:r w:rsidRPr="00C705BB">
              <w:rPr>
                <w:rFonts w:ascii="Times New Roman" w:hAnsi="Times New Roman" w:cs="Times New Roman"/>
              </w:rPr>
              <w:t>-Students will have additional assistance while annotating the text</w:t>
            </w:r>
          </w:p>
        </w:tc>
      </w:tr>
      <w:tr w:rsidR="007E5236" w:rsidRPr="000851DB" w:rsidTr="005D359D">
        <w:trPr>
          <w:trHeight w:val="977"/>
        </w:trPr>
        <w:tc>
          <w:tcPr>
            <w:tcW w:w="2448" w:type="dxa"/>
            <w:shd w:val="clear" w:color="auto" w:fill="auto"/>
          </w:tcPr>
          <w:p w:rsidR="007E5236" w:rsidRPr="000851DB" w:rsidRDefault="007E5236" w:rsidP="005D359D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0851DB">
              <w:rPr>
                <w:rFonts w:ascii="Times New Roman" w:hAnsi="Times New Roman" w:cs="Times New Roman"/>
                <w:b/>
              </w:rPr>
              <w:t>Assessment(s)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7E5236" w:rsidRPr="000851DB" w:rsidRDefault="004D303A" w:rsidP="005D359D">
            <w:pPr>
              <w:pStyle w:val="Default"/>
              <w:rPr>
                <w:rFonts w:ascii="Times New Roman" w:hAnsi="Times New Roman" w:cs="Times New Roman"/>
              </w:rPr>
            </w:pPr>
            <w:r w:rsidRPr="000851DB">
              <w:rPr>
                <w:rFonts w:ascii="Times New Roman" w:hAnsi="Times New Roman" w:cs="Times New Roman"/>
              </w:rPr>
              <w:t>“After Reading” pg.39</w:t>
            </w:r>
            <w:r w:rsidR="00A50A36" w:rsidRPr="000851DB">
              <w:rPr>
                <w:rFonts w:ascii="Times New Roman" w:hAnsi="Times New Roman" w:cs="Times New Roman"/>
              </w:rPr>
              <w:t xml:space="preserve"> in Spring Board</w:t>
            </w:r>
          </w:p>
        </w:tc>
      </w:tr>
      <w:tr w:rsidR="007E5236" w:rsidRPr="008D73AC" w:rsidTr="005D359D">
        <w:trPr>
          <w:trHeight w:val="1013"/>
        </w:trPr>
        <w:tc>
          <w:tcPr>
            <w:tcW w:w="2448" w:type="dxa"/>
            <w:shd w:val="clear" w:color="auto" w:fill="auto"/>
          </w:tcPr>
          <w:p w:rsidR="007E5236" w:rsidRPr="00F71AC9" w:rsidRDefault="007E5236" w:rsidP="005D359D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7E5236" w:rsidRPr="00F71AC9" w:rsidRDefault="007E5236" w:rsidP="005D359D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7E5236" w:rsidRPr="00F71AC9" w:rsidRDefault="007E5236" w:rsidP="005D359D"/>
        </w:tc>
      </w:tr>
    </w:tbl>
    <w:p w:rsidR="007E5236" w:rsidRDefault="007E5236" w:rsidP="007E5236">
      <w:pPr>
        <w:pStyle w:val="Default"/>
      </w:pPr>
    </w:p>
    <w:p w:rsidR="007E5236" w:rsidRDefault="007E5236" w:rsidP="007E5236">
      <w:pPr>
        <w:pStyle w:val="Default"/>
      </w:pPr>
    </w:p>
    <w:p w:rsidR="007E5236" w:rsidRDefault="007E5236" w:rsidP="007E5236">
      <w:pPr>
        <w:pStyle w:val="Default"/>
      </w:pPr>
    </w:p>
    <w:p w:rsidR="007E5236" w:rsidRDefault="007E5236" w:rsidP="007E5236">
      <w:pPr>
        <w:pStyle w:val="Default"/>
      </w:pPr>
    </w:p>
    <w:p w:rsidR="007E5236" w:rsidRDefault="007E5236" w:rsidP="007E5236">
      <w:pPr>
        <w:pStyle w:val="Default"/>
      </w:pPr>
    </w:p>
    <w:p w:rsidR="007E5236" w:rsidRDefault="007E5236" w:rsidP="007E5236">
      <w:pPr>
        <w:pStyle w:val="Default"/>
      </w:pPr>
    </w:p>
    <w:p w:rsidR="007E5236" w:rsidRDefault="007E5236" w:rsidP="007E5236">
      <w:pPr>
        <w:pStyle w:val="Default"/>
      </w:pPr>
    </w:p>
    <w:p w:rsidR="007E5236" w:rsidRDefault="007E5236" w:rsidP="007E5236"/>
    <w:p w:rsidR="00550FB2" w:rsidRDefault="00BA70C9"/>
    <w:sectPr w:rsidR="00550FB2" w:rsidSect="00933E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0C9" w:rsidRDefault="00BA70C9" w:rsidP="006F696E">
      <w:r>
        <w:separator/>
      </w:r>
    </w:p>
  </w:endnote>
  <w:endnote w:type="continuationSeparator" w:id="0">
    <w:p w:rsidR="00BA70C9" w:rsidRDefault="00BA70C9" w:rsidP="006F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BA70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7F463F" w:rsidP="00D272BA">
    <w:pPr>
      <w:pStyle w:val="Footer"/>
      <w:jc w:val="center"/>
    </w:pPr>
    <w:r>
      <w:rPr>
        <w:noProof/>
      </w:rPr>
      <w:drawing>
        <wp:inline distT="0" distB="0" distL="0" distR="0">
          <wp:extent cx="758825" cy="259080"/>
          <wp:effectExtent l="0" t="0" r="3175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7479" w:rsidRPr="00176FD3">
      <w:tab/>
      <w:t>Office of Curriculum &amp; Instruction</w:t>
    </w:r>
    <w:r w:rsidR="00297479" w:rsidRPr="00176FD3">
      <w:tab/>
      <w:t>2012</w:t>
    </w:r>
  </w:p>
  <w:p w:rsidR="00D272BA" w:rsidRDefault="00BA70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BA70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0C9" w:rsidRDefault="00BA70C9" w:rsidP="006F696E">
      <w:r>
        <w:separator/>
      </w:r>
    </w:p>
  </w:footnote>
  <w:footnote w:type="continuationSeparator" w:id="0">
    <w:p w:rsidR="00BA70C9" w:rsidRDefault="00BA70C9" w:rsidP="006F6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BA70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BA70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BA70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6582"/>
    <w:multiLevelType w:val="hybridMultilevel"/>
    <w:tmpl w:val="D2186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52F9D"/>
    <w:multiLevelType w:val="hybridMultilevel"/>
    <w:tmpl w:val="B2A85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DB7E5E"/>
    <w:multiLevelType w:val="hybridMultilevel"/>
    <w:tmpl w:val="557ABC2E"/>
    <w:lvl w:ilvl="0" w:tplc="484630B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236"/>
    <w:rsid w:val="0003575A"/>
    <w:rsid w:val="000851DB"/>
    <w:rsid w:val="001706F8"/>
    <w:rsid w:val="001C4C9B"/>
    <w:rsid w:val="002155CE"/>
    <w:rsid w:val="00225266"/>
    <w:rsid w:val="00297479"/>
    <w:rsid w:val="003A16AA"/>
    <w:rsid w:val="003E4B0E"/>
    <w:rsid w:val="004D303A"/>
    <w:rsid w:val="004E4A5A"/>
    <w:rsid w:val="005335CA"/>
    <w:rsid w:val="006F696E"/>
    <w:rsid w:val="00781D67"/>
    <w:rsid w:val="00796C91"/>
    <w:rsid w:val="007E5236"/>
    <w:rsid w:val="007F463F"/>
    <w:rsid w:val="008C0B05"/>
    <w:rsid w:val="00A35489"/>
    <w:rsid w:val="00A50A36"/>
    <w:rsid w:val="00B52308"/>
    <w:rsid w:val="00B8634F"/>
    <w:rsid w:val="00BA70C9"/>
    <w:rsid w:val="00BE0A6E"/>
    <w:rsid w:val="00C705BB"/>
    <w:rsid w:val="00D655EA"/>
    <w:rsid w:val="00D906D6"/>
    <w:rsid w:val="00DF5F33"/>
    <w:rsid w:val="00F23504"/>
    <w:rsid w:val="00F6108F"/>
    <w:rsid w:val="00FE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5236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5236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E523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E5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2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523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5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B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5236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5236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E523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E5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2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523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5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gateway.com/passage/?search=1+Samuel+17&amp;version=NIV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</dc:creator>
  <cp:lastModifiedBy>Brittany</cp:lastModifiedBy>
  <cp:revision>4</cp:revision>
  <dcterms:created xsi:type="dcterms:W3CDTF">2012-07-25T21:27:00Z</dcterms:created>
  <dcterms:modified xsi:type="dcterms:W3CDTF">2012-07-26T20:51:00Z</dcterms:modified>
</cp:coreProperties>
</file>